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jc w:val="center"/>
      </w:pPr>
    </w:p>
    <w:p>
      <w:pPr>
        <w:pStyle w:val="Body"/>
        <w:jc w:val="center"/>
        <w:rPr>
          <w:sz w:val="32"/>
          <w:szCs w:val="32"/>
        </w:rPr>
      </w:pPr>
      <w:r>
        <w:rPr>
          <w:sz w:val="32"/>
          <w:szCs w:val="32"/>
          <w:rtl w:val="0"/>
          <w:lang w:val="en-US"/>
        </w:rPr>
        <w:t>(Non-Group Situation)</w:t>
      </w:r>
    </w:p>
    <w:p>
      <w:pPr>
        <w:pStyle w:val="Body"/>
        <w:jc w:val="center"/>
        <w:rPr>
          <w:sz w:val="28"/>
          <w:szCs w:val="28"/>
        </w:rPr>
      </w:pPr>
    </w:p>
    <w:p>
      <w:pPr>
        <w:pStyle w:val="Body"/>
        <w:jc w:val="center"/>
        <w:rPr>
          <w:sz w:val="28"/>
          <w:szCs w:val="28"/>
        </w:rPr>
      </w:pPr>
    </w:p>
    <w:p>
      <w:pPr>
        <w:pStyle w:val="Body"/>
        <w:jc w:val="center"/>
        <w:rPr>
          <w:sz w:val="46"/>
          <w:szCs w:val="46"/>
        </w:rPr>
      </w:pPr>
    </w:p>
    <w:p>
      <w:pPr>
        <w:pStyle w:val="Title"/>
        <w:jc w:val="center"/>
        <w:rPr>
          <w:rFonts w:ascii="Avenir Next Demi Bold" w:cs="Avenir Next Demi Bold" w:hAnsi="Avenir Next Demi Bold" w:eastAsia="Avenir Next Demi Bold"/>
          <w:b w:val="0"/>
          <w:bCs w:val="0"/>
          <w:sz w:val="56"/>
          <w:szCs w:val="56"/>
        </w:rPr>
      </w:pPr>
      <w:r>
        <w:rPr>
          <w:rFonts w:ascii="Avenir Next Demi Bold" w:hAnsi="Avenir Next Demi Bold"/>
          <w:b w:val="0"/>
          <w:bCs w:val="0"/>
          <w:sz w:val="56"/>
          <w:szCs w:val="56"/>
          <w:rtl w:val="0"/>
          <w:lang w:val="en-US"/>
        </w:rPr>
        <w:t>[Your Company Name]</w:t>
      </w:r>
      <w:r>
        <w:rPr>
          <w:rFonts w:ascii="Avenir Next Demi Bold" w:hAnsi="Avenir Next Demi Bold"/>
          <w:b w:val="0"/>
          <w:bCs w:val="0"/>
          <w:sz w:val="56"/>
          <w:szCs w:val="56"/>
          <w:rtl w:val="0"/>
          <w:lang w:val="de-DE"/>
        </w:rPr>
        <w:t xml:space="preserve"> Limited</w:t>
      </w:r>
    </w:p>
    <w:p>
      <w:pPr>
        <w:pStyle w:val="Title"/>
        <w:jc w:val="center"/>
        <w:rPr>
          <w:rFonts w:ascii="Avenir Next Demi Bold" w:cs="Avenir Next Demi Bold" w:hAnsi="Avenir Next Demi Bold" w:eastAsia="Avenir Next Demi Bold"/>
          <w:b w:val="0"/>
          <w:bCs w:val="0"/>
          <w:sz w:val="56"/>
          <w:szCs w:val="56"/>
        </w:rPr>
      </w:pPr>
      <w:r>
        <w:rPr>
          <w:rFonts w:ascii="Avenir Next Demi Bold" w:hAnsi="Avenir Next Demi Bold"/>
          <w:b w:val="0"/>
          <w:bCs w:val="0"/>
          <w:sz w:val="56"/>
          <w:szCs w:val="56"/>
          <w:rtl w:val="0"/>
          <w:lang w:val="de-DE"/>
        </w:rPr>
        <w:t>12345</w:t>
      </w:r>
    </w:p>
    <w:p>
      <w:pPr>
        <w:pStyle w:val="Title"/>
        <w:jc w:val="center"/>
        <w:rPr>
          <w:rFonts w:ascii="Avenir Next Demi Bold" w:cs="Avenir Next Demi Bold" w:hAnsi="Avenir Next Demi Bold" w:eastAsia="Avenir Next Demi Bold"/>
          <w:b w:val="0"/>
          <w:bCs w:val="0"/>
          <w:sz w:val="56"/>
          <w:szCs w:val="56"/>
        </w:rPr>
      </w:pPr>
    </w:p>
    <w:p>
      <w:pPr>
        <w:pStyle w:val="Title"/>
        <w:jc w:val="center"/>
        <w:rPr>
          <w:rFonts w:ascii="Avenir Next Demi Bold" w:cs="Avenir Next Demi Bold" w:hAnsi="Avenir Next Demi Bold" w:eastAsia="Avenir Next Demi Bold"/>
          <w:b w:val="0"/>
          <w:bCs w:val="0"/>
          <w:sz w:val="56"/>
          <w:szCs w:val="56"/>
        </w:rPr>
      </w:pPr>
      <w:r>
        <w:rPr>
          <w:rFonts w:ascii="Avenir Next Demi Bold" w:hAnsi="Avenir Next Demi Bold"/>
          <w:b w:val="0"/>
          <w:bCs w:val="0"/>
          <w:sz w:val="56"/>
          <w:szCs w:val="56"/>
          <w:rtl w:val="0"/>
          <w:lang w:val="en-US"/>
        </w:rPr>
        <w:t>Unaudited Financial Statements</w:t>
      </w:r>
    </w:p>
    <w:p>
      <w:pPr>
        <w:pStyle w:val="Title"/>
        <w:jc w:val="center"/>
        <w:rPr>
          <w:rFonts w:ascii="Avenir Next Demi Bold" w:cs="Avenir Next Demi Bold" w:hAnsi="Avenir Next Demi Bold" w:eastAsia="Avenir Next Demi Bold"/>
          <w:b w:val="0"/>
          <w:bCs w:val="0"/>
          <w:sz w:val="56"/>
          <w:szCs w:val="56"/>
        </w:rPr>
      </w:pPr>
      <w:r>
        <w:rPr>
          <w:rFonts w:ascii="Avenir Next Demi Bold" w:hAnsi="Avenir Next Demi Bold"/>
          <w:b w:val="0"/>
          <w:bCs w:val="0"/>
          <w:sz w:val="56"/>
          <w:szCs w:val="56"/>
          <w:rtl w:val="0"/>
          <w:lang w:val="de-DE"/>
        </w:rPr>
        <w:t>31.12.2024</w:t>
      </w:r>
    </w:p>
    <w:p>
      <w:pPr>
        <w:pStyle w:val="Body"/>
        <w:bidi w:val="0"/>
      </w:pPr>
    </w:p>
    <w:p>
      <w:pPr>
        <w:pStyle w:val="Body"/>
        <w:bidi w:val="0"/>
      </w:pPr>
    </w:p>
    <w:p>
      <w:pPr>
        <w:pStyle w:val="Body"/>
        <w:bidi w:val="0"/>
      </w:pPr>
      <w:r>
        <w:br w:type="textWrapping"/>
      </w:r>
      <w:r>
        <w:rPr>
          <w:rFonts w:ascii="Arial Unicode MS" w:cs="Arial Unicode MS" w:hAnsi="Arial Unicode MS" w:eastAsia="Arial Unicode MS"/>
          <w:b w:val="0"/>
          <w:bCs w:val="0"/>
          <w:i w:val="0"/>
          <w:iCs w:val="0"/>
        </w:rPr>
        <w:br w:type="page"/>
      </w:r>
    </w:p>
    <w:p>
      <w:pPr>
        <w:pStyle w:val="Heading 3"/>
        <w:bidi w:val="0"/>
      </w:pPr>
      <w:r>
        <w:rPr>
          <w:rtl w:val="0"/>
        </w:rPr>
        <w:t>Contents:</w:t>
      </w:r>
    </w:p>
    <w:p>
      <w:pPr>
        <w:pStyle w:val="Body"/>
        <w:bidi w:val="0"/>
      </w:pPr>
    </w:p>
    <w:p>
      <w:pPr>
        <w:pStyle w:val="Body"/>
        <w:numPr>
          <w:ilvl w:val="0"/>
          <w:numId w:val="2"/>
        </w:numPr>
        <w:bidi w:val="0"/>
      </w:pPr>
      <w:r>
        <w:rPr>
          <w:rFonts w:cs="Arial Unicode MS" w:eastAsia="Arial Unicode MS"/>
          <w:rtl w:val="0"/>
          <w:lang w:val="en-US"/>
        </w:rPr>
        <w:t>Names of Directors and other information</w:t>
      </w:r>
    </w:p>
    <w:p>
      <w:pPr>
        <w:pStyle w:val="Body"/>
        <w:numPr>
          <w:ilvl w:val="0"/>
          <w:numId w:val="2"/>
        </w:numPr>
        <w:bidi w:val="0"/>
      </w:pPr>
      <w:r>
        <w:rPr>
          <w:rFonts w:cs="Arial Unicode MS" w:eastAsia="Arial Unicode MS"/>
          <w:rtl w:val="0"/>
          <w:lang w:val="en-US"/>
        </w:rPr>
        <w:t>Balance Sheet</w:t>
      </w:r>
    </w:p>
    <w:p>
      <w:pPr>
        <w:pStyle w:val="Body"/>
        <w:numPr>
          <w:ilvl w:val="0"/>
          <w:numId w:val="2"/>
        </w:numPr>
        <w:bidi w:val="0"/>
      </w:pPr>
      <w:r>
        <w:rPr>
          <w:rFonts w:cs="Arial Unicode MS" w:eastAsia="Arial Unicode MS"/>
          <w:rtl w:val="0"/>
          <w:lang w:val="en-US"/>
        </w:rPr>
        <w:t xml:space="preserve">Notes to the Financial Statements </w:t>
      </w:r>
    </w:p>
    <w:p>
      <w:pPr>
        <w:pStyle w:val="Body"/>
        <w:bidi w:val="0"/>
      </w:pPr>
      <w:r>
        <w:br w:type="textWrapping"/>
      </w:r>
      <w:r>
        <w:rPr>
          <w:rFonts w:ascii="Arial Unicode MS" w:cs="Arial Unicode MS" w:hAnsi="Arial Unicode MS" w:eastAsia="Arial Unicode MS"/>
          <w:b w:val="0"/>
          <w:bCs w:val="0"/>
          <w:i w:val="0"/>
          <w:iCs w:val="0"/>
        </w:rPr>
        <w:br w:type="page"/>
      </w:r>
    </w:p>
    <w:p>
      <w:pPr>
        <w:pStyle w:val="Heading 3"/>
        <w:bidi w:val="0"/>
      </w:pPr>
      <w:r>
        <w:rPr>
          <w:rtl w:val="0"/>
          <w:lang w:val="en-US"/>
        </w:rPr>
        <w:t>Names of Directors and other information</w:t>
      </w:r>
    </w:p>
    <w:p>
      <w:pPr>
        <w:pStyle w:val="Body"/>
        <w:bidi w:val="0"/>
      </w:pPr>
    </w:p>
    <w:p>
      <w:pPr>
        <w:pStyle w:val="Body"/>
        <w:bidi w:val="0"/>
      </w:pPr>
      <w:r>
        <w:rPr>
          <w:rFonts w:cs="Arial Unicode MS" w:eastAsia="Arial Unicode MS"/>
          <w:rtl w:val="0"/>
          <w:lang w:val="en-US"/>
        </w:rPr>
        <w:t>Company Registration No:</w:t>
      </w:r>
      <w:r>
        <w:rPr>
          <w:rFonts w:cs="Arial Unicode MS" w:eastAsia="Arial Unicode MS"/>
          <w:rtl w:val="0"/>
          <w:lang w:val="de-DE"/>
        </w:rPr>
        <w:t xml:space="preserve"> 12345</w:t>
      </w:r>
    </w:p>
    <w:p>
      <w:pPr>
        <w:pStyle w:val="Body"/>
        <w:bidi w:val="0"/>
      </w:pPr>
    </w:p>
    <w:p>
      <w:pPr>
        <w:pStyle w:val="Body"/>
        <w:bidi w:val="0"/>
      </w:pPr>
      <w:r>
        <w:rPr>
          <w:rFonts w:cs="Arial Unicode MS" w:eastAsia="Arial Unicode MS"/>
          <w:rtl w:val="0"/>
          <w:lang w:val="en-US"/>
        </w:rPr>
        <w:t>Place of Registration:</w:t>
      </w:r>
      <w:r>
        <w:rPr>
          <w:rFonts w:cs="Arial Unicode MS" w:eastAsia="Arial Unicode MS"/>
          <w:rtl w:val="0"/>
          <w:lang w:val="de-DE"/>
        </w:rPr>
        <w:t xml:space="preserve"> Dublin, Ireland</w:t>
      </w:r>
    </w:p>
    <w:p>
      <w:pPr>
        <w:pStyle w:val="Body"/>
        <w:bidi w:val="0"/>
      </w:pPr>
    </w:p>
    <w:p>
      <w:pPr>
        <w:pStyle w:val="Body"/>
        <w:bidi w:val="0"/>
      </w:pPr>
      <w:r>
        <w:rPr>
          <w:rFonts w:cs="Arial Unicode MS" w:eastAsia="Arial Unicode MS"/>
          <w:rtl w:val="0"/>
          <w:lang w:val="en-US"/>
        </w:rPr>
        <w:t>Legal form of Company:</w:t>
      </w:r>
    </w:p>
    <w:p>
      <w:pPr>
        <w:pStyle w:val="Body"/>
        <w:bidi w:val="0"/>
      </w:pPr>
      <w:r>
        <w:rPr>
          <w:rFonts w:cs="Arial Unicode MS" w:eastAsia="Arial Unicode MS"/>
          <w:rtl w:val="0"/>
          <w:lang w:val="de-DE"/>
        </w:rPr>
        <w:t>Private Limited Company</w:t>
      </w:r>
    </w:p>
    <w:p>
      <w:pPr>
        <w:pStyle w:val="Body"/>
        <w:bidi w:val="0"/>
      </w:pPr>
    </w:p>
    <w:p>
      <w:pPr>
        <w:pStyle w:val="Body"/>
        <w:bidi w:val="0"/>
      </w:pPr>
      <w:r>
        <w:rPr>
          <w:rFonts w:cs="Arial Unicode MS" w:eastAsia="Arial Unicode MS"/>
          <w:rtl w:val="0"/>
          <w:lang w:val="en-US"/>
        </w:rPr>
        <w:t>Registered Office:</w:t>
      </w:r>
    </w:p>
    <w:p>
      <w:pPr>
        <w:pStyle w:val="Body"/>
        <w:bidi w:val="0"/>
      </w:pPr>
      <w:r>
        <w:rPr>
          <w:rFonts w:cs="Arial Unicode MS" w:eastAsia="Arial Unicode MS"/>
          <w:rtl w:val="0"/>
          <w:lang w:val="en-US"/>
        </w:rPr>
        <w:t xml:space="preserve">[Your Company </w:t>
      </w:r>
      <w:r>
        <w:rPr>
          <w:rFonts w:cs="Arial Unicode MS" w:eastAsia="Arial Unicode MS"/>
          <w:rtl w:val="0"/>
          <w:lang w:val="de-DE"/>
        </w:rPr>
        <w:t>Address</w:t>
      </w:r>
      <w:r>
        <w:rPr>
          <w:rFonts w:cs="Arial Unicode MS" w:eastAsia="Arial Unicode MS"/>
          <w:rtl w:val="0"/>
          <w:lang w:val="pt-PT"/>
        </w:rPr>
        <w:t>]</w:t>
      </w:r>
    </w:p>
    <w:p>
      <w:pPr>
        <w:pStyle w:val="Body"/>
        <w:bidi w:val="0"/>
      </w:pPr>
      <w:r>
        <w:rPr>
          <w:rFonts w:cs="Arial Unicode MS" w:eastAsia="Arial Unicode MS"/>
          <w:rtl w:val="0"/>
        </w:rPr>
        <w:t>Dublin</w:t>
      </w:r>
    </w:p>
    <w:p>
      <w:pPr>
        <w:pStyle w:val="Body"/>
        <w:bidi w:val="0"/>
      </w:pPr>
      <w:r>
        <w:rPr>
          <w:rFonts w:cs="Arial Unicode MS" w:eastAsia="Arial Unicode MS"/>
          <w:rtl w:val="0"/>
        </w:rPr>
        <w:t>D02 XE80</w:t>
      </w:r>
    </w:p>
    <w:p>
      <w:pPr>
        <w:pStyle w:val="Body"/>
        <w:bidi w:val="0"/>
      </w:pPr>
    </w:p>
    <w:p>
      <w:pPr>
        <w:pStyle w:val="Body"/>
        <w:bidi w:val="0"/>
      </w:pPr>
      <w:r>
        <w:rPr>
          <w:rFonts w:cs="Arial Unicode MS" w:eastAsia="Arial Unicode MS"/>
          <w:rtl w:val="0"/>
          <w:lang w:val="en-US"/>
        </w:rPr>
        <w:t>Directors:</w:t>
      </w:r>
    </w:p>
    <w:p>
      <w:pPr>
        <w:pStyle w:val="Body"/>
        <w:numPr>
          <w:ilvl w:val="0"/>
          <w:numId w:val="2"/>
        </w:numPr>
        <w:bidi w:val="0"/>
      </w:pPr>
      <w:r>
        <w:rPr>
          <w:rFonts w:cs="Arial Unicode MS" w:eastAsia="Arial Unicode MS"/>
          <w:rtl w:val="0"/>
          <w:lang w:val="en-US"/>
        </w:rPr>
        <w:t xml:space="preserve">[Your Company </w:t>
      </w:r>
      <w:r>
        <w:rPr>
          <w:rFonts w:cs="Arial Unicode MS" w:eastAsia="Arial Unicode MS"/>
          <w:rtl w:val="0"/>
          <w:lang w:val="de-DE"/>
        </w:rPr>
        <w:t>Director</w:t>
      </w:r>
      <w:r>
        <w:rPr>
          <w:rFonts w:cs="Arial Unicode MS" w:eastAsia="Arial Unicode MS"/>
          <w:rtl w:val="0"/>
          <w:lang w:val="pt-PT"/>
        </w:rPr>
        <w:t>]</w:t>
      </w:r>
    </w:p>
    <w:p>
      <w:pPr>
        <w:pStyle w:val="Body"/>
        <w:numPr>
          <w:ilvl w:val="0"/>
          <w:numId w:val="2"/>
        </w:numPr>
        <w:bidi w:val="0"/>
      </w:pPr>
      <w:r>
        <w:rPr>
          <w:rFonts w:cs="Arial Unicode MS" w:eastAsia="Arial Unicode MS"/>
          <w:rtl w:val="0"/>
          <w:lang w:val="en-US"/>
        </w:rPr>
        <w:t>[Your Company Director]</w:t>
      </w:r>
    </w:p>
    <w:p>
      <w:pPr>
        <w:pStyle w:val="Body"/>
        <w:bidi w:val="0"/>
      </w:pPr>
    </w:p>
    <w:p>
      <w:pPr>
        <w:pStyle w:val="Body"/>
        <w:bidi w:val="0"/>
      </w:pPr>
      <w:r>
        <w:rPr>
          <w:rFonts w:cs="Arial Unicode MS" w:eastAsia="Arial Unicode MS"/>
          <w:rtl w:val="0"/>
          <w:lang w:val="en-US"/>
        </w:rPr>
        <w:t>Company Secretary:</w:t>
      </w:r>
      <w:r>
        <w:rPr>
          <w:rFonts w:cs="Arial Unicode MS" w:eastAsia="Arial Unicode MS"/>
          <w:rtl w:val="0"/>
          <w:lang w:val="de-DE"/>
        </w:rPr>
        <w:t xml:space="preserve"> </w:t>
      </w:r>
    </w:p>
    <w:p>
      <w:pPr>
        <w:pStyle w:val="Body"/>
        <w:numPr>
          <w:ilvl w:val="0"/>
          <w:numId w:val="2"/>
        </w:numPr>
        <w:bidi w:val="0"/>
      </w:pPr>
      <w:r>
        <w:rPr>
          <w:rFonts w:cs="Arial Unicode MS" w:eastAsia="Arial Unicode MS"/>
          <w:rtl w:val="0"/>
          <w:lang w:val="en-US"/>
        </w:rPr>
        <w:t xml:space="preserve">[Your Company </w:t>
      </w:r>
      <w:r>
        <w:rPr>
          <w:rFonts w:cs="Arial Unicode MS" w:eastAsia="Arial Unicode MS"/>
          <w:rtl w:val="0"/>
          <w:lang w:val="de-DE"/>
        </w:rPr>
        <w:t>Secretary</w:t>
      </w:r>
      <w:r>
        <w:rPr>
          <w:rFonts w:cs="Arial Unicode MS" w:eastAsia="Arial Unicode MS"/>
          <w:rtl w:val="0"/>
          <w:lang w:val="pt-PT"/>
        </w:rPr>
        <w:t>]</w:t>
      </w:r>
    </w:p>
    <w:p>
      <w:pPr>
        <w:pStyle w:val="Body"/>
        <w:bidi w:val="0"/>
      </w:pPr>
    </w:p>
    <w:p>
      <w:pPr>
        <w:pStyle w:val="Body"/>
        <w:bidi w:val="0"/>
      </w:pPr>
      <w:r>
        <w:rPr>
          <w:rFonts w:cs="Arial Unicode MS" w:eastAsia="Arial Unicode MS"/>
          <w:rtl w:val="0"/>
          <w:lang w:val="de-DE"/>
        </w:rPr>
        <w:t>Audi</w:t>
      </w:r>
      <w:r>
        <w:rPr>
          <w:rFonts w:cs="Arial Unicode MS" w:eastAsia="Arial Unicode MS"/>
          <w:rtl w:val="0"/>
          <w:lang w:val="de-DE"/>
        </w:rPr>
        <w:t>tor</w:t>
      </w:r>
      <w:r>
        <w:rPr>
          <w:rFonts w:cs="Arial Unicode MS" w:eastAsia="Arial Unicode MS"/>
          <w:rtl w:val="0"/>
        </w:rPr>
        <w:t>:</w:t>
      </w:r>
      <w:r>
        <w:rPr>
          <w:rFonts w:cs="Arial Unicode MS" w:eastAsia="Arial Unicode MS"/>
          <w:rtl w:val="0"/>
          <w:lang w:val="de-DE"/>
        </w:rPr>
        <w:t xml:space="preserve"> </w:t>
      </w:r>
    </w:p>
    <w:p>
      <w:pPr>
        <w:pStyle w:val="Body"/>
        <w:bidi w:val="0"/>
      </w:pPr>
      <w:r>
        <w:rPr>
          <w:rFonts w:cs="Arial Unicode MS" w:eastAsia="Arial Unicode MS"/>
          <w:rtl w:val="0"/>
          <w:lang w:val="en-US"/>
        </w:rPr>
        <w:t>The company is claiming Audit Exemption in accordance with the provisions of the Companies Act 2014, as it meets the criteria for a Micro-Company.</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Fonts w:ascii="Arial Unicode MS" w:cs="Arial Unicode MS" w:hAnsi="Arial Unicode MS" w:eastAsia="Arial Unicode MS"/>
          <w:b w:val="0"/>
          <w:bCs w:val="0"/>
          <w:i w:val="0"/>
          <w:iCs w:val="0"/>
        </w:rPr>
        <w:br w:type="page"/>
      </w:r>
    </w:p>
    <w:p>
      <w:pPr>
        <w:pStyle w:val="Heading 3"/>
        <w:bidi w:val="0"/>
      </w:pPr>
      <w:r>
        <w:rPr>
          <w:rtl w:val="0"/>
          <w:lang w:val="en-US"/>
        </w:rPr>
        <w:t>4. Abridged Financial Statements (Micro-Company)</w:t>
      </w:r>
    </w:p>
    <w:p>
      <w:pPr>
        <w:pStyle w:val="Body"/>
        <w:bidi w:val="0"/>
      </w:pPr>
    </w:p>
    <w:p>
      <w:pPr>
        <w:pStyle w:val="Body"/>
        <w:bidi w:val="0"/>
      </w:pPr>
    </w:p>
    <w:p>
      <w:pPr>
        <w:pStyle w:val="Body"/>
        <w:jc w:val="center"/>
      </w:pPr>
      <w:r>
        <w:rPr>
          <w:rtl w:val="0"/>
          <w:lang w:val="de-DE"/>
        </w:rPr>
        <w:t>[Your Company Name] Limited</w:t>
      </w:r>
    </w:p>
    <w:p>
      <w:pPr>
        <w:pStyle w:val="Body"/>
        <w:jc w:val="center"/>
      </w:pPr>
    </w:p>
    <w:p>
      <w:pPr>
        <w:pStyle w:val="Body"/>
        <w:jc w:val="center"/>
      </w:pPr>
      <w:r>
        <w:rPr>
          <w:rtl w:val="0"/>
          <w:lang w:val="en-US"/>
        </w:rPr>
        <w:t>Abridged Balance Sheet</w:t>
      </w:r>
      <w:r>
        <w:rPr>
          <w:rtl w:val="0"/>
          <w:lang w:val="de-DE"/>
        </w:rPr>
        <w:t xml:space="preserve"> </w:t>
      </w:r>
      <w:r>
        <w:rPr>
          <w:rtl w:val="0"/>
          <w:lang w:val="en-US"/>
        </w:rPr>
        <w:t xml:space="preserve">as at </w:t>
      </w:r>
      <w:r>
        <w:rPr>
          <w:rtl w:val="0"/>
          <w:lang w:val="de-DE"/>
        </w:rPr>
        <w:t>31.12.2024</w:t>
      </w: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68"/>
        <w:gridCol w:w="1217"/>
        <w:gridCol w:w="1735"/>
        <w:gridCol w:w="1910"/>
      </w:tblGrid>
      <w:tr>
        <w:tblPrEx>
          <w:shd w:val="clear" w:color="auto" w:fill="auto"/>
        </w:tblPrEx>
        <w:trPr>
          <w:trHeight w:val="480"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Year Ended 31.12.2024</w:t>
            </w:r>
          </w:p>
        </w:tc>
        <w:tc>
          <w:tcPr>
            <w:tcW w:type="dxa" w:w="1909"/>
            <w:tcBorders>
              <w:top w:val="nil"/>
              <w:left w:val="nil"/>
              <w:bottom w:val="nil"/>
              <w:right w:val="nil"/>
            </w:tcBorders>
            <w:shd w:val="clear" w:color="auto" w:fill="auto"/>
            <w:tcMar>
              <w:top w:type="dxa" w:w="40"/>
              <w:left w:type="dxa" w:w="0"/>
              <w:bottom w:type="dxa" w:w="40"/>
              <w:right w:type="dxa" w:w="0"/>
            </w:tcMar>
            <w:vAlign w:val="bottom"/>
          </w:tcPr>
          <w:p>
            <w:pPr>
              <w:pStyle w:val="Body"/>
              <w:jc w:val="center"/>
            </w:pPr>
            <w:r>
              <w:rPr>
                <w:rFonts w:ascii="Avenir Next Regular" w:hAnsi="Avenir Next Regular"/>
                <w:sz w:val="18"/>
                <w:szCs w:val="18"/>
                <w:rtl w:val="0"/>
              </w:rPr>
              <w:t>Previous Year</w:t>
            </w:r>
          </w:p>
          <w:p>
            <w:pPr>
              <w:pStyle w:val="Body"/>
              <w:jc w:val="center"/>
            </w:pPr>
            <w:r>
              <w:rPr>
                <w:rFonts w:ascii="Avenir Next Regular" w:hAnsi="Avenir Next Regular"/>
                <w:sz w:val="18"/>
                <w:szCs w:val="18"/>
                <w:rtl w:val="0"/>
              </w:rPr>
              <w:t>N/a</w:t>
            </w:r>
          </w:p>
        </w:tc>
      </w:tr>
      <w:tr>
        <w:tblPrEx>
          <w:shd w:val="clear" w:color="auto" w:fill="auto"/>
        </w:tblPrEx>
        <w:trPr>
          <w:trHeight w:val="240" w:hRule="atLeast"/>
        </w:trPr>
        <w:tc>
          <w:tcPr>
            <w:tcW w:type="dxa" w:w="4768"/>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ascii="Avenir Next Regular" w:hAnsi="Avenir Next Regular"/>
                <w:sz w:val="18"/>
                <w:szCs w:val="18"/>
                <w:rtl w:val="0"/>
              </w:rPr>
              <w:t>Called up share capital not paid</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Fixed Assets</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Current Assets</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Prepayments and accrued income</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0"/>
              <w:bottom w:type="dxa" w:w="40"/>
              <w:right w:type="dxa" w:w="0"/>
            </w:tcMar>
            <w:vAlign w:val="bottom"/>
          </w:tcPr>
          <w:p>
            <w:pPr>
              <w:pStyle w:val="Body"/>
            </w:pPr>
            <w:r>
              <w:rPr>
                <w:rFonts w:ascii="Avenir Next Regular" w:hAnsi="Avenir Next Regular"/>
                <w:sz w:val="18"/>
                <w:szCs w:val="18"/>
                <w:rtl w:val="0"/>
              </w:rPr>
              <w:t>Creditors: amounts falling due within one year</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Net current assets (liabilities)</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Total Assets less current liabilities</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Creditors: amounts falling due after more than one year</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Provisions for liabilites</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Accruals and deferred income</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r>
        <w:tblPrEx>
          <w:shd w:val="clear" w:color="auto" w:fill="auto"/>
        </w:tblPrEx>
        <w:trPr>
          <w:trHeight w:val="379" w:hRule="atLeast"/>
        </w:trPr>
        <w:tc>
          <w:tcPr>
            <w:tcW w:type="dxa" w:w="4768"/>
            <w:tcBorders>
              <w:top w:val="nil"/>
              <w:left w:val="nil"/>
              <w:bottom w:val="nil"/>
              <w:right w:val="nil"/>
            </w:tcBorders>
            <w:shd w:val="clear" w:color="auto" w:fill="auto"/>
            <w:tcMar>
              <w:top w:type="dxa" w:w="40"/>
              <w:left w:type="dxa" w:w="60"/>
              <w:bottom w:type="dxa" w:w="40"/>
              <w:right w:type="dxa" w:w="60"/>
            </w:tcMar>
            <w:vAlign w:val="bottom"/>
          </w:tcPr>
          <w:p>
            <w:pPr>
              <w:pStyle w:val="Body"/>
            </w:pPr>
            <w:r>
              <w:rPr>
                <w:rFonts w:ascii="Avenir Next Regular" w:hAnsi="Avenir Next Regular"/>
                <w:sz w:val="18"/>
                <w:szCs w:val="18"/>
                <w:rtl w:val="0"/>
              </w:rPr>
              <w:t>Capital and reserves</w:t>
            </w:r>
          </w:p>
        </w:tc>
        <w:tc>
          <w:tcPr>
            <w:tcW w:type="dxa" w:w="1216"/>
            <w:tcBorders>
              <w:top w:val="nil"/>
              <w:left w:val="nil"/>
              <w:bottom w:val="nil"/>
              <w:right w:val="nil"/>
            </w:tcBorders>
            <w:shd w:val="clear" w:color="auto" w:fill="auto"/>
            <w:tcMar>
              <w:top w:type="dxa" w:w="40"/>
              <w:left w:type="dxa" w:w="60"/>
              <w:bottom w:type="dxa" w:w="40"/>
              <w:right w:type="dxa" w:w="60"/>
            </w:tcMar>
            <w:vAlign w:val="bottom"/>
          </w:tcPr>
          <w:p/>
        </w:tc>
        <w:tc>
          <w:tcPr>
            <w:tcW w:type="dxa" w:w="1735"/>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0</w:t>
            </w:r>
          </w:p>
        </w:tc>
        <w:tc>
          <w:tcPr>
            <w:tcW w:type="dxa" w:w="1909"/>
            <w:tcBorders>
              <w:top w:val="nil"/>
              <w:left w:val="nil"/>
              <w:bottom w:val="nil"/>
              <w:right w:val="nil"/>
            </w:tcBorders>
            <w:shd w:val="clear" w:color="auto" w:fill="auto"/>
            <w:tcMar>
              <w:top w:type="dxa" w:w="40"/>
              <w:left w:type="dxa" w:w="60"/>
              <w:bottom w:type="dxa" w:w="40"/>
              <w:right w:type="dxa" w:w="60"/>
            </w:tcMar>
            <w:vAlign w:val="bottom"/>
          </w:tcPr>
          <w:p>
            <w:pPr>
              <w:pStyle w:val="Body"/>
              <w:jc w:val="center"/>
            </w:pPr>
            <w:r>
              <w:rPr>
                <w:rFonts w:ascii="Avenir Next Regular" w:hAnsi="Avenir Next Regular"/>
                <w:sz w:val="18"/>
                <w:szCs w:val="18"/>
                <w:rtl w:val="0"/>
              </w:rPr>
              <w:t>/</w:t>
            </w:r>
          </w:p>
        </w:tc>
      </w:tr>
    </w:tbl>
    <w:p>
      <w:pPr>
        <w:pStyle w:val="Body"/>
        <w:bidi w:val="0"/>
      </w:pPr>
      <w:r>
        <w:tab/>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Arial" w:cs="Arial" w:hAnsi="Arial" w:eastAsia="Arial"/>
          <w:i w:val="1"/>
          <w:iCs w:val="1"/>
          <w:outline w:val="0"/>
          <w:color w:val="1a1918"/>
          <w:sz w:val="18"/>
          <w:szCs w:val="18"/>
          <w14:textFill>
            <w14:solidFill>
              <w14:srgbClr w14:val="1A191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Arial" w:cs="Arial" w:hAnsi="Arial" w:eastAsia="Arial"/>
          <w:i w:val="1"/>
          <w:iCs w:val="1"/>
          <w:outline w:val="0"/>
          <w:color w:val="1a1918"/>
          <w:sz w:val="18"/>
          <w:szCs w:val="18"/>
          <w14:textFill>
            <w14:solidFill>
              <w14:srgbClr w14:val="1A191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Arial" w:cs="Arial" w:hAnsi="Arial" w:eastAsia="Arial"/>
          <w:i w:val="1"/>
          <w:iCs w:val="1"/>
          <w:outline w:val="0"/>
          <w:color w:val="1a1918"/>
          <w:sz w:val="18"/>
          <w:szCs w:val="18"/>
          <w14:textFill>
            <w14:solidFill>
              <w14:srgbClr w14:val="1A191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1a1918"/>
          <w:sz w:val="18"/>
          <w:szCs w:val="18"/>
          <w14:textFill>
            <w14:solidFill>
              <w14:srgbClr w14:val="1A191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1a1918"/>
          <w:sz w:val="18"/>
          <w:szCs w:val="18"/>
          <w14:textFill>
            <w14:solidFill>
              <w14:srgbClr w14:val="1A1919"/>
            </w14:solidFill>
          </w14:textFill>
        </w:rPr>
      </w:pPr>
      <w:r>
        <w:rPr>
          <w:i w:val="1"/>
          <w:iCs w:val="1"/>
          <w:outline w:val="0"/>
          <w:color w:val="1a1918"/>
          <w:sz w:val="18"/>
          <w:szCs w:val="18"/>
          <w:rtl w:val="0"/>
          <w:lang w:val="en-US"/>
          <w14:textFill>
            <w14:solidFill>
              <w14:srgbClr w14:val="1A1919"/>
            </w14:solidFill>
          </w14:textFill>
        </w:rPr>
        <w:t xml:space="preserve">We, as directors of [Your Company </w:t>
      </w:r>
      <w:r>
        <w:rPr>
          <w:i w:val="1"/>
          <w:iCs w:val="1"/>
          <w:outline w:val="0"/>
          <w:color w:val="1a1918"/>
          <w:sz w:val="18"/>
          <w:szCs w:val="18"/>
          <w:rtl w:val="0"/>
          <w:lang w:val="de-DE"/>
          <w14:textFill>
            <w14:solidFill>
              <w14:srgbClr w14:val="1A1919"/>
            </w14:solidFill>
          </w14:textFill>
        </w:rPr>
        <w:t>Name</w:t>
      </w:r>
      <w:r>
        <w:rPr>
          <w:i w:val="1"/>
          <w:iCs w:val="1"/>
          <w:outline w:val="0"/>
          <w:color w:val="1a1918"/>
          <w:sz w:val="18"/>
          <w:szCs w:val="18"/>
          <w:rtl w:val="0"/>
          <w:lang w:val="pt-PT"/>
          <w14:textFill>
            <w14:solidFill>
              <w14:srgbClr w14:val="1A1919"/>
            </w14:solidFill>
          </w14:textFill>
        </w:rPr>
        <w:t>]</w:t>
      </w:r>
      <w:r>
        <w:rPr>
          <w:i w:val="1"/>
          <w:iCs w:val="1"/>
          <w:outline w:val="0"/>
          <w:color w:val="1a1918"/>
          <w:sz w:val="18"/>
          <w:szCs w:val="18"/>
          <w:rtl w:val="0"/>
          <w:lang w:val="de-DE"/>
          <w14:textFill>
            <w14:solidFill>
              <w14:srgbClr w14:val="1A1919"/>
            </w14:solidFill>
          </w14:textFill>
        </w:rPr>
        <w:t xml:space="preserve"> Limited</w:t>
      </w:r>
      <w:r>
        <w:rPr>
          <w:i w:val="1"/>
          <w:iCs w:val="1"/>
          <w:outline w:val="0"/>
          <w:color w:val="1a1918"/>
          <w:sz w:val="18"/>
          <w:szCs w:val="18"/>
          <w:rtl w:val="0"/>
          <w:lang w:val="en-US"/>
          <w14:textFill>
            <w14:solidFill>
              <w14:srgbClr w14:val="1A1919"/>
            </w14:solidFill>
          </w14:textFill>
        </w:rPr>
        <w:t>, state that: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1a1918"/>
          <w:sz w:val="18"/>
          <w:szCs w:val="18"/>
          <w14:textFill>
            <w14:solidFill>
              <w14:srgbClr w14:val="1A191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outline w:val="0"/>
          <w:color w:val="1a1918"/>
          <w:sz w:val="16"/>
          <w:szCs w:val="16"/>
          <w14:textFill>
            <w14:solidFill>
              <w14:srgbClr w14:val="1A1919"/>
            </w14:solidFill>
          </w14:textFill>
        </w:rPr>
      </w:pPr>
      <w:r>
        <w:rPr>
          <w:outline w:val="0"/>
          <w:color w:val="1a1918"/>
          <w:sz w:val="16"/>
          <w:szCs w:val="16"/>
          <w:rtl w:val="0"/>
          <w:lang w:val="en-US"/>
          <w14:textFill>
            <w14:solidFill>
              <w14:srgbClr w14:val="1A1919"/>
            </w14:solidFill>
          </w14:textFill>
        </w:rPr>
        <w:t>(a) These financial statements have been prepared in accordance with the micro companies regime.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i w:val="1"/>
          <w:iCs w:val="1"/>
          <w:outline w:val="0"/>
          <w:color w:val="1a1918"/>
          <w:sz w:val="16"/>
          <w:szCs w:val="16"/>
          <w14:textFill>
            <w14:solidFill>
              <w14:srgbClr w14:val="1A1919"/>
            </w14:solidFill>
          </w14:textFill>
        </w:rPr>
      </w:pPr>
      <w:r>
        <w:rPr>
          <w:i w:val="1"/>
          <w:iCs w:val="1"/>
          <w:outline w:val="0"/>
          <w:color w:val="1a1918"/>
          <w:sz w:val="16"/>
          <w:szCs w:val="16"/>
          <w:rtl w:val="0"/>
          <w:lang w:val="en-US"/>
          <w14:textFill>
            <w14:solidFill>
              <w14:srgbClr w14:val="1A1919"/>
            </w14:solidFill>
          </w14:textFill>
        </w:rPr>
        <w:t>(b) the company is availing itself of the exemption provided for by Chapter 15 of Part 6 of the</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Companies Act 2014</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i w:val="1"/>
          <w:iCs w:val="1"/>
          <w:outline w:val="0"/>
          <w:color w:val="1a1918"/>
          <w:sz w:val="16"/>
          <w:szCs w:val="16"/>
          <w14:textFill>
            <w14:solidFill>
              <w14:srgbClr w14:val="1A1919"/>
            </w14:solidFill>
          </w14:textFill>
        </w:rPr>
      </w:pPr>
      <w:r>
        <w:rPr>
          <w:i w:val="1"/>
          <w:iCs w:val="1"/>
          <w:outline w:val="0"/>
          <w:color w:val="1a1918"/>
          <w:sz w:val="16"/>
          <w:szCs w:val="16"/>
          <w:rtl w:val="0"/>
          <w:lang w:val="en-US"/>
          <w14:textFill>
            <w14:solidFill>
              <w14:srgbClr w14:val="1A1919"/>
            </w14:solidFill>
          </w14:textFill>
        </w:rPr>
        <w:t>(c) the company is availing itself of the exemption on the grounds that the conditions specified in</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section 358 are satisfied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i w:val="1"/>
          <w:iCs w:val="1"/>
          <w:outline w:val="0"/>
          <w:color w:val="1a1918"/>
          <w:sz w:val="16"/>
          <w:szCs w:val="16"/>
          <w14:textFill>
            <w14:solidFill>
              <w14:srgbClr w14:val="1A1919"/>
            </w14:solidFill>
          </w14:textFill>
        </w:rPr>
      </w:pPr>
      <w:r>
        <w:rPr>
          <w:i w:val="1"/>
          <w:iCs w:val="1"/>
          <w:outline w:val="0"/>
          <w:color w:val="1a1918"/>
          <w:sz w:val="16"/>
          <w:szCs w:val="16"/>
          <w:rtl w:val="0"/>
          <w:lang w:val="en-US"/>
          <w14:textFill>
            <w14:solidFill>
              <w14:srgbClr w14:val="1A1919"/>
            </w14:solidFill>
          </w14:textFill>
        </w:rPr>
        <w:t>(d) the shareholders of the company have not served a notice on the company under section 334(1)</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in accordance with section 334(2) of the Companies Act 2014</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i w:val="1"/>
          <w:iCs w:val="1"/>
          <w:outline w:val="0"/>
          <w:color w:val="1a1918"/>
          <w:sz w:val="16"/>
          <w:szCs w:val="16"/>
          <w14:textFill>
            <w14:solidFill>
              <w14:srgbClr w14:val="1A1919"/>
            </w14:solidFill>
          </w14:textFill>
        </w:rPr>
      </w:pPr>
      <w:r>
        <w:rPr>
          <w:i w:val="1"/>
          <w:iCs w:val="1"/>
          <w:outline w:val="0"/>
          <w:color w:val="1a1918"/>
          <w:sz w:val="16"/>
          <w:szCs w:val="16"/>
          <w:rtl w:val="0"/>
          <w:lang w:val="en-US"/>
          <w14:textFill>
            <w14:solidFill>
              <w14:srgbClr w14:val="1A1919"/>
            </w14:solidFill>
          </w14:textFill>
        </w:rPr>
        <w:t>(e) We acknowledge the company</w:t>
      </w:r>
      <w:r>
        <w:rPr>
          <w:i w:val="1"/>
          <w:iCs w:val="1"/>
          <w:outline w:val="0"/>
          <w:color w:val="1a1918"/>
          <w:sz w:val="16"/>
          <w:szCs w:val="16"/>
          <w:rtl w:val="1"/>
          <w14:textFill>
            <w14:solidFill>
              <w14:srgbClr w14:val="1A1919"/>
            </w14:solidFill>
          </w14:textFill>
        </w:rPr>
        <w:t>’</w:t>
      </w:r>
      <w:r>
        <w:rPr>
          <w:i w:val="1"/>
          <w:iCs w:val="1"/>
          <w:outline w:val="0"/>
          <w:color w:val="1a1918"/>
          <w:sz w:val="16"/>
          <w:szCs w:val="16"/>
          <w:rtl w:val="0"/>
          <w:lang w:val="en-US"/>
          <w14:textFill>
            <w14:solidFill>
              <w14:srgbClr w14:val="1A1919"/>
            </w14:solidFill>
          </w14:textFill>
        </w:rPr>
        <w:t>s obligations under the Companies Act 2014, to keep adequate</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accounting records and prepare Financial Statements which give a true and fair view of the assets,</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liabilities and financial position of the company at the end of its</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financial year and of its profit or loss</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for such a year and to otherwise comply with the provisions of the Companies Act 2014 relating to</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Financial Statements so far as they are applicable to the company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both"/>
        <w:rPr>
          <w:i w:val="1"/>
          <w:iCs w:val="1"/>
          <w:outline w:val="0"/>
          <w:color w:val="1a1918"/>
          <w:sz w:val="16"/>
          <w:szCs w:val="16"/>
          <w14:textFill>
            <w14:solidFill>
              <w14:srgbClr w14:val="1A1919"/>
            </w14:solidFill>
          </w14:textFill>
        </w:rPr>
      </w:pPr>
      <w:r>
        <w:rPr>
          <w:i w:val="1"/>
          <w:iCs w:val="1"/>
          <w:outline w:val="0"/>
          <w:color w:val="0a0a08"/>
          <w:sz w:val="16"/>
          <w:szCs w:val="16"/>
          <w:rtl w:val="0"/>
          <w14:textFill>
            <w14:solidFill>
              <w14:srgbClr w14:val="0A0B09"/>
            </w14:solidFill>
          </w14:textFill>
        </w:rPr>
        <w:t>(f)</w:t>
      </w:r>
      <w:r>
        <w:rPr>
          <w:i w:val="1"/>
          <w:iCs w:val="1"/>
          <w:outline w:val="0"/>
          <w:color w:val="1a1918"/>
          <w:sz w:val="16"/>
          <w:szCs w:val="16"/>
          <w:rtl w:val="0"/>
          <w:lang w:val="en-US"/>
          <w14:textFill>
            <w14:solidFill>
              <w14:srgbClr w14:val="1A1919"/>
            </w14:solidFill>
          </w14:textFill>
        </w:rPr>
        <w:t xml:space="preserve"> The company has relied on the specified exemption contained in section 352 as a micro company;</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We have done so on the ground</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that the company is entitled to the benefit of that exemption as a</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small company and the abridged Financial Statements have been</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properly prepared in accordance</w:t>
      </w:r>
      <w:r>
        <w:rPr>
          <w:i w:val="1"/>
          <w:iCs w:val="1"/>
          <w:outline w:val="0"/>
          <w:color w:val="1a1918"/>
          <w:sz w:val="16"/>
          <w:szCs w:val="16"/>
          <w:rtl w:val="0"/>
          <w:lang w:val="de-DE"/>
          <w14:textFill>
            <w14:solidFill>
              <w14:srgbClr w14:val="1A1919"/>
            </w14:solidFill>
          </w14:textFill>
        </w:rPr>
        <w:t xml:space="preserve"> </w:t>
      </w:r>
      <w:r>
        <w:rPr>
          <w:i w:val="1"/>
          <w:iCs w:val="1"/>
          <w:outline w:val="0"/>
          <w:color w:val="1a1918"/>
          <w:sz w:val="16"/>
          <w:szCs w:val="16"/>
          <w:rtl w:val="0"/>
          <w:lang w:val="en-US"/>
          <w14:textFill>
            <w14:solidFill>
              <w14:srgbClr w14:val="1A1919"/>
            </w14:solidFill>
          </w14:textFill>
        </w:rPr>
        <w:t>with section 353.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1a1918"/>
          <w:sz w:val="16"/>
          <w:szCs w:val="16"/>
          <w14:textFill>
            <w14:solidFill>
              <w14:srgbClr w14:val="1A191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0a0a08"/>
          <w:sz w:val="16"/>
          <w:szCs w:val="16"/>
          <w14:textFill>
            <w14:solidFill>
              <w14:srgbClr w14:val="0A0B09"/>
            </w14:solidFill>
          </w14:textFill>
        </w:rPr>
      </w:pPr>
      <w:r>
        <w:rPr>
          <w:i w:val="1"/>
          <w:iCs w:val="1"/>
          <w:outline w:val="0"/>
          <w:color w:val="0a0a08"/>
          <w:sz w:val="16"/>
          <w:szCs w:val="16"/>
          <w:rtl w:val="0"/>
          <w:lang w:val="en-US"/>
          <w14:textFill>
            <w14:solidFill>
              <w14:srgbClr w14:val="0A0B09"/>
            </w14:solidFill>
          </w14:textFill>
        </w:rPr>
        <w:t>On behalf of the board: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0a0a08"/>
          <w:sz w:val="16"/>
          <w:szCs w:val="16"/>
          <w14:textFill>
            <w14:solidFill>
              <w14:srgbClr w14:val="0A0B0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0a0a08"/>
          <w:sz w:val="16"/>
          <w:szCs w:val="16"/>
          <w14:textFill>
            <w14:solidFill>
              <w14:srgbClr w14:val="0A0B09"/>
            </w14:solidFill>
          </w14:textFill>
        </w:rPr>
      </w:pPr>
    </w:p>
    <w:tbl>
      <w:tblPr>
        <w:tblW w:w="963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8"/>
        <w:gridCol w:w="4819"/>
      </w:tblGrid>
      <w:tr>
        <w:tblPrEx>
          <w:shd w:val="clear" w:color="auto" w:fill="auto"/>
        </w:tblPrEx>
        <w:trPr>
          <w:trHeight w:val="240" w:hRule="atLeast"/>
        </w:trPr>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[Your Director Name]</w:t>
            </w:r>
          </w:p>
        </w:tc>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[Your Secretary Name]</w:t>
            </w:r>
          </w:p>
        </w:tc>
      </w:tr>
      <w:tr>
        <w:tblPrEx>
          <w:shd w:val="clear" w:color="auto" w:fill="auto"/>
        </w:tblPrEx>
        <w:trPr>
          <w:trHeight w:val="240" w:hRule="atLeast"/>
        </w:trPr>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Director</w:t>
            </w:r>
          </w:p>
        </w:tc>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Secretary</w:t>
            </w:r>
          </w:p>
        </w:tc>
      </w:tr>
      <w:tr>
        <w:tblPrEx>
          <w:shd w:val="clear" w:color="auto" w:fill="auto"/>
        </w:tblPrEx>
        <w:trPr>
          <w:trHeight w:val="240" w:hRule="atLeast"/>
        </w:trPr>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01.01.2025</w:t>
            </w:r>
          </w:p>
        </w:tc>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01.01.2025</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i w:val="1"/>
          <w:iCs w:val="1"/>
          <w:outline w:val="0"/>
          <w:color w:val="0a0a08"/>
          <w:sz w:val="16"/>
          <w:szCs w:val="16"/>
          <w14:textFill>
            <w14:solidFill>
              <w14:srgbClr w14:val="0A0B09"/>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pPr>
      <w:r>
        <w:rPr>
          <w:rFonts w:ascii="Arial Unicode MS" w:cs="Arial Unicode MS" w:hAnsi="Arial Unicode MS" w:eastAsia="Arial Unicode MS"/>
          <w:b w:val="0"/>
          <w:bCs w:val="0"/>
          <w:i w:val="0"/>
          <w:iCs w:val="0"/>
          <w:outline w:val="0"/>
          <w:color w:val="0a0a08"/>
          <w:sz w:val="16"/>
          <w:szCs w:val="16"/>
          <w14:textFill>
            <w14:solidFill>
              <w14:srgbClr w14:val="0A0B09"/>
            </w14:solidFill>
          </w14:textFill>
        </w:rPr>
        <w:br w:type="page"/>
      </w:r>
    </w:p>
    <w:p>
      <w:pPr>
        <w:pStyle w:val="Heading 3"/>
        <w:bidi w:val="0"/>
      </w:pPr>
      <w:r>
        <w:rPr>
          <w:rtl w:val="0"/>
          <w:lang w:val="en-US"/>
        </w:rPr>
        <w:t>Notes to the Abridged Financial Statements</w:t>
      </w:r>
    </w:p>
    <w:p>
      <w:pPr>
        <w:pStyle w:val="Body"/>
        <w:bidi w:val="0"/>
      </w:pPr>
    </w:p>
    <w:p>
      <w:pPr>
        <w:pStyle w:val="Body"/>
        <w:bidi w:val="0"/>
      </w:pPr>
      <w:r>
        <w:rPr>
          <w:rFonts w:cs="Arial Unicode MS" w:eastAsia="Arial Unicode MS"/>
          <w:rtl w:val="0"/>
        </w:rPr>
        <w:t>1.</w:t>
      </w:r>
      <w:r>
        <w:rPr>
          <w:rFonts w:cs="Arial Unicode MS" w:eastAsia="Arial Unicode MS"/>
          <w:rtl w:val="0"/>
          <w:lang w:val="de-DE"/>
        </w:rPr>
        <w:t xml:space="preserve"> </w:t>
      </w:r>
      <w:r>
        <w:rPr>
          <w:rFonts w:cs="Arial Unicode MS" w:eastAsia="Arial Unicode MS"/>
          <w:rtl w:val="0"/>
          <w:lang w:val="en-US"/>
        </w:rPr>
        <w:t>Basis of Preparation:</w:t>
      </w:r>
    </w:p>
    <w:p>
      <w:pPr>
        <w:pStyle w:val="Body"/>
        <w:bidi w:val="0"/>
      </w:pPr>
      <w:r>
        <w:rPr>
          <w:rFonts w:cs="Arial Unicode MS" w:eastAsia="Arial Unicode MS"/>
          <w:rtl w:val="0"/>
          <w:lang w:val="en-US"/>
        </w:rPr>
        <w:t>These Abridged Financial Statements have been prepared under the historical cost convention and in accordance with the provisions of the Companies Act 2014 relating to micro-companies.</w:t>
      </w:r>
    </w:p>
    <w:p>
      <w:pPr>
        <w:pStyle w:val="Body"/>
        <w:bidi w:val="0"/>
      </w:pPr>
    </w:p>
    <w:p>
      <w:pPr>
        <w:pStyle w:val="Body"/>
        <w:bidi w:val="0"/>
      </w:pPr>
      <w:r>
        <w:rPr>
          <w:rFonts w:cs="Arial Unicode MS" w:eastAsia="Arial Unicode MS"/>
          <w:rtl w:val="0"/>
        </w:rPr>
        <w:t>2.</w:t>
      </w:r>
      <w:r>
        <w:rPr>
          <w:rFonts w:cs="Arial Unicode MS" w:eastAsia="Arial Unicode MS"/>
          <w:rtl w:val="0"/>
          <w:lang w:val="de-DE"/>
        </w:rPr>
        <w:t xml:space="preserve"> </w:t>
      </w:r>
      <w:r>
        <w:rPr>
          <w:rFonts w:cs="Arial Unicode MS" w:eastAsia="Arial Unicode MS"/>
          <w:rtl w:val="0"/>
          <w:lang w:val="en-US"/>
        </w:rPr>
        <w:t>Accounting Policies:</w:t>
      </w:r>
    </w:p>
    <w:p>
      <w:pPr>
        <w:pStyle w:val="Body"/>
        <w:bidi w:val="0"/>
      </w:pPr>
    </w:p>
    <w:p>
      <w:pPr>
        <w:pStyle w:val="Body"/>
        <w:bidi w:val="0"/>
      </w:pPr>
      <w:r>
        <w:rPr>
          <w:rFonts w:cs="Arial Unicode MS" w:eastAsia="Arial Unicode MS"/>
          <w:sz w:val="14"/>
          <w:szCs w:val="14"/>
          <w:rtl w:val="0"/>
          <w:lang w:val="de-DE"/>
        </w:rPr>
        <w:t xml:space="preserve">(a) </w:t>
      </w:r>
      <w:r>
        <w:rPr>
          <w:rFonts w:cs="Arial Unicode MS" w:eastAsia="Arial Unicode MS"/>
          <w:rtl w:val="0"/>
          <w:lang w:val="en-US"/>
        </w:rPr>
        <w:t xml:space="preserve">Revenue Recognition: </w:t>
      </w:r>
    </w:p>
    <w:p>
      <w:pPr>
        <w:pStyle w:val="Body"/>
        <w:bidi w:val="0"/>
      </w:pPr>
      <w:r>
        <w:rPr>
          <w:rFonts w:cs="Arial Unicode MS" w:eastAsia="Arial Unicode MS"/>
          <w:rtl w:val="0"/>
          <w:lang w:val="en-US"/>
        </w:rPr>
        <w:t>Revenue is recognized at the point of sale in the online shop when goods are dispatched (or services are rendered) and the significant risks and rewards of ownership have transferred to the customer. Any discounts or returns are recorded as reductions to revenue.</w:t>
      </w:r>
    </w:p>
    <w:p>
      <w:pPr>
        <w:pStyle w:val="Body"/>
        <w:bidi w:val="0"/>
      </w:pPr>
    </w:p>
    <w:p>
      <w:pPr>
        <w:pStyle w:val="Body"/>
        <w:bidi w:val="0"/>
      </w:pPr>
      <w:r>
        <w:rPr>
          <w:rFonts w:cs="Arial Unicode MS" w:eastAsia="Arial Unicode MS"/>
          <w:sz w:val="14"/>
          <w:szCs w:val="14"/>
          <w:rtl w:val="0"/>
          <w:lang w:val="de-DE"/>
        </w:rPr>
        <w:t xml:space="preserve">(b) </w:t>
      </w:r>
      <w:r>
        <w:rPr>
          <w:rFonts w:cs="Arial Unicode MS" w:eastAsia="Arial Unicode MS"/>
          <w:rtl w:val="0"/>
          <w:lang w:val="en-US"/>
        </w:rPr>
        <w:t>Tangible</w:t>
      </w:r>
      <w:r>
        <w:rPr>
          <w:rFonts w:cs="Arial Unicode MS" w:eastAsia="Arial Unicode MS"/>
          <w:rtl w:val="0"/>
          <w:lang w:val="de-DE"/>
        </w:rPr>
        <w:t xml:space="preserve"> Fixed Assets</w:t>
      </w:r>
      <w:r>
        <w:rPr>
          <w:rFonts w:cs="Arial Unicode MS" w:eastAsia="Arial Unicode MS"/>
          <w:rtl w:val="0"/>
        </w:rPr>
        <w:t xml:space="preserve">: </w:t>
      </w:r>
    </w:p>
    <w:p>
      <w:pPr>
        <w:pStyle w:val="Body"/>
        <w:bidi w:val="0"/>
      </w:pPr>
      <w:r>
        <w:rPr>
          <w:rFonts w:cs="Arial Unicode MS" w:eastAsia="Arial Unicode MS"/>
          <w:rtl w:val="0"/>
          <w:lang w:val="en-US"/>
        </w:rPr>
        <w:t>The company holds no significant tangible fixed assets (e.g., machinery, office equipment). Minor office-related purchases are expensed directly. If any significant asset were acquired, it would be depreciated on a straight-line basis over its estimated useful life.</w:t>
      </w:r>
    </w:p>
    <w:p>
      <w:pPr>
        <w:pStyle w:val="Body"/>
        <w:bidi w:val="0"/>
      </w:pPr>
    </w:p>
    <w:p>
      <w:pPr>
        <w:pStyle w:val="Body"/>
        <w:bidi w:val="0"/>
      </w:pPr>
      <w:r>
        <w:rPr>
          <w:rFonts w:cs="Arial Unicode MS" w:eastAsia="Arial Unicode MS"/>
          <w:sz w:val="14"/>
          <w:szCs w:val="14"/>
          <w:rtl w:val="0"/>
          <w:lang w:val="de-DE"/>
        </w:rPr>
        <w:t xml:space="preserve">(c) </w:t>
      </w:r>
      <w:r>
        <w:rPr>
          <w:rFonts w:cs="Arial Unicode MS" w:eastAsia="Arial Unicode MS"/>
          <w:rtl w:val="0"/>
          <w:lang w:val="it-IT"/>
        </w:rPr>
        <w:t>Intangible Assets</w:t>
      </w:r>
      <w:r>
        <w:rPr>
          <w:rFonts w:cs="Arial Unicode MS" w:eastAsia="Arial Unicode MS"/>
          <w:rtl w:val="0"/>
          <w:lang w:val="de-DE"/>
        </w:rPr>
        <w:t>:</w:t>
      </w:r>
    </w:p>
    <w:p>
      <w:pPr>
        <w:pStyle w:val="Body"/>
        <w:bidi w:val="0"/>
      </w:pPr>
      <w:r>
        <w:rPr>
          <w:rFonts w:cs="Arial Unicode MS" w:eastAsia="Arial Unicode MS"/>
          <w:rtl w:val="0"/>
          <w:lang w:val="en-US"/>
        </w:rPr>
        <w:t>No internally generated intangible assets (e.g., branding, website development) are capitalized, as they do not meet the criteria for recognition under applicable accounting standards.</w:t>
      </w:r>
    </w:p>
    <w:p>
      <w:pPr>
        <w:pStyle w:val="Body"/>
        <w:bidi w:val="0"/>
      </w:pPr>
    </w:p>
    <w:p>
      <w:pPr>
        <w:pStyle w:val="Body"/>
        <w:bidi w:val="0"/>
      </w:pPr>
      <w:r>
        <w:rPr>
          <w:rFonts w:cs="Arial Unicode MS" w:eastAsia="Arial Unicode MS"/>
          <w:sz w:val="14"/>
          <w:szCs w:val="14"/>
          <w:rtl w:val="0"/>
          <w:lang w:val="de-DE"/>
        </w:rPr>
        <w:t xml:space="preserve">(d) </w:t>
      </w:r>
      <w:r>
        <w:rPr>
          <w:rFonts w:cs="Arial Unicode MS" w:eastAsia="Arial Unicode MS"/>
          <w:rtl w:val="0"/>
        </w:rPr>
        <w:t>Share Capital:</w:t>
      </w:r>
    </w:p>
    <w:p>
      <w:pPr>
        <w:pStyle w:val="Body"/>
        <w:bidi w:val="0"/>
      </w:pPr>
      <w:r>
        <w:rPr>
          <w:rFonts w:cs="Arial Unicode MS" w:eastAsia="Arial Unicode MS"/>
          <w:rtl w:val="0"/>
          <w:lang w:val="en-US"/>
        </w:rPr>
        <w:t xml:space="preserve">The company has issued </w:t>
      </w:r>
      <w:r>
        <w:rPr>
          <w:rFonts w:cs="Arial Unicode MS" w:eastAsia="Arial Unicode MS"/>
          <w:rtl w:val="0"/>
          <w:lang w:val="de-DE"/>
        </w:rPr>
        <w:t>[X]</w:t>
      </w:r>
      <w:r>
        <w:rPr>
          <w:rFonts w:cs="Arial Unicode MS" w:eastAsia="Arial Unicode MS"/>
          <w:rtl w:val="0"/>
          <w:lang w:val="en-US"/>
        </w:rPr>
        <w:t xml:space="preserve"> ordinary shares at </w:t>
      </w:r>
      <w:r>
        <w:rPr>
          <w:rFonts w:cs="Arial Unicode MS" w:eastAsia="Arial Unicode MS" w:hint="default"/>
          <w:rtl w:val="0"/>
          <w:lang w:val="pt-PT"/>
        </w:rPr>
        <w:t xml:space="preserve">€ </w:t>
      </w:r>
      <w:r>
        <w:rPr>
          <w:rFonts w:cs="Arial Unicode MS" w:eastAsia="Arial Unicode MS"/>
          <w:rtl w:val="0"/>
          <w:lang w:val="en-US"/>
        </w:rPr>
        <w:t>[X] each, fully paid up.</w:t>
      </w:r>
      <w:r>
        <w:rPr>
          <w:rFonts w:cs="Arial Unicode MS" w:eastAsia="Arial Unicode MS"/>
          <w:rtl w:val="0"/>
          <w:lang w:val="de-DE"/>
        </w:rPr>
        <w:t xml:space="preserve"> </w:t>
      </w:r>
      <w:r>
        <w:rPr>
          <w:rFonts w:cs="Arial Unicode MS" w:eastAsia="Arial Unicode MS"/>
          <w:rtl w:val="0"/>
          <w:lang w:val="en-US"/>
        </w:rPr>
        <w:t>The called-up share capital</w:t>
      </w:r>
      <w:r>
        <w:rPr>
          <w:rFonts w:cs="Arial Unicode MS" w:eastAsia="Arial Unicode MS"/>
          <w:rtl w:val="0"/>
          <w:lang w:val="de-DE"/>
        </w:rPr>
        <w:t xml:space="preserve"> </w:t>
      </w:r>
      <w:r>
        <w:rPr>
          <w:rFonts w:cs="Arial Unicode MS" w:eastAsia="Arial Unicode MS"/>
          <w:rtl w:val="0"/>
          <w:lang w:val="en-US"/>
        </w:rPr>
        <w:t xml:space="preserve">has been fully paid and is presented under </w:t>
      </w:r>
      <w:r>
        <w:rPr>
          <w:rFonts w:cs="Arial Unicode MS" w:eastAsia="Arial Unicode MS" w:hint="default"/>
          <w:rtl w:val="1"/>
          <w:lang w:val="ar-SA" w:bidi="ar-SA"/>
        </w:rPr>
        <w:t>“</w:t>
      </w:r>
      <w:r>
        <w:rPr>
          <w:rFonts w:cs="Arial Unicode MS" w:eastAsia="Arial Unicode MS"/>
          <w:rtl w:val="0"/>
          <w:lang w:val="it-IT"/>
        </w:rPr>
        <w:t>Share Capital.</w:t>
      </w:r>
      <w:r>
        <w:rPr>
          <w:rFonts w:cs="Arial Unicode MS" w:eastAsia="Arial Unicode MS" w:hint="default"/>
          <w:rtl w:val="0"/>
        </w:rPr>
        <w:t xml:space="preserve">” </w:t>
      </w:r>
      <w:r>
        <w:rPr>
          <w:rFonts w:cs="Arial Unicode MS" w:eastAsia="Arial Unicode MS"/>
          <w:rtl w:val="0"/>
          <w:lang w:val="en-US"/>
        </w:rPr>
        <w:t xml:space="preserve">Additional injections or withdrawals that do not affect the nominal capital are accounted for under </w:t>
      </w:r>
      <w:r>
        <w:rPr>
          <w:rFonts w:cs="Arial Unicode MS" w:eastAsia="Arial Unicode MS" w:hint="default"/>
          <w:rtl w:val="1"/>
          <w:lang w:val="ar-SA" w:bidi="ar-SA"/>
        </w:rPr>
        <w:t>“</w:t>
      </w:r>
      <w:r>
        <w:rPr>
          <w:rFonts w:cs="Arial Unicode MS" w:eastAsia="Arial Unicode MS"/>
          <w:rtl w:val="0"/>
          <w:lang w:val="en-US"/>
        </w:rPr>
        <w:t>Capital and Reserves</w:t>
      </w:r>
      <w:r>
        <w:rPr>
          <w:rFonts w:cs="Arial Unicode MS" w:eastAsia="Arial Unicode MS" w:hint="default"/>
          <w:rtl w:val="0"/>
        </w:rPr>
        <w:t xml:space="preserve">” </w:t>
      </w:r>
      <w:r>
        <w:rPr>
          <w:rFonts w:cs="Arial Unicode MS" w:eastAsia="Arial Unicode MS"/>
          <w:rtl w:val="0"/>
          <w:lang w:val="en-US"/>
        </w:rPr>
        <w:t>or recognized as a shareholder loan if repayable.</w:t>
      </w:r>
    </w:p>
    <w:p>
      <w:pPr>
        <w:pStyle w:val="Body"/>
        <w:bidi w:val="0"/>
      </w:pPr>
    </w:p>
    <w:p>
      <w:pPr>
        <w:pStyle w:val="Body"/>
        <w:bidi w:val="0"/>
      </w:pPr>
      <w:r>
        <w:rPr>
          <w:rFonts w:cs="Arial Unicode MS" w:eastAsia="Arial Unicode MS"/>
          <w:sz w:val="14"/>
          <w:szCs w:val="14"/>
          <w:rtl w:val="0"/>
          <w:lang w:val="de-DE"/>
        </w:rPr>
        <w:t xml:space="preserve">(e) </w:t>
      </w:r>
      <w:r>
        <w:rPr>
          <w:rFonts w:cs="Arial Unicode MS" w:eastAsia="Arial Unicode MS"/>
          <w:rtl w:val="0"/>
          <w:lang w:val="en-US"/>
        </w:rPr>
        <w:t>Profit and Loss (Retained Earnings)</w:t>
      </w:r>
      <w:r>
        <w:rPr>
          <w:rFonts w:cs="Arial Unicode MS" w:eastAsia="Arial Unicode MS"/>
          <w:rtl w:val="0"/>
          <w:lang w:val="de-DE"/>
        </w:rPr>
        <w:t>:</w:t>
      </w:r>
    </w:p>
    <w:p>
      <w:pPr>
        <w:pStyle w:val="Body"/>
        <w:bidi w:val="0"/>
      </w:pPr>
      <w:r>
        <w:rPr>
          <w:rFonts w:cs="Arial Unicode MS" w:eastAsia="Arial Unicode MS"/>
          <w:rtl w:val="0"/>
          <w:lang w:val="en-US"/>
        </w:rPr>
        <w:t xml:space="preserve">The net profit or loss for the year is determined by subtracting all operating expenses (e.g., marketing, transaction fees, other operating costs) from the revenue. The resulting profit or loss is reflected in </w:t>
      </w:r>
      <w:r>
        <w:rPr>
          <w:rFonts w:cs="Arial Unicode MS" w:eastAsia="Arial Unicode MS" w:hint="default"/>
          <w:rtl w:val="1"/>
          <w:lang w:val="ar-SA" w:bidi="ar-SA"/>
        </w:rPr>
        <w:t>“</w:t>
      </w:r>
      <w:r>
        <w:rPr>
          <w:rFonts w:cs="Arial Unicode MS" w:eastAsia="Arial Unicode MS"/>
          <w:rtl w:val="0"/>
          <w:lang w:val="en-US"/>
        </w:rPr>
        <w:t>Profit and Loss Account (Retained Earnings)</w:t>
      </w:r>
      <w:r>
        <w:rPr>
          <w:rFonts w:cs="Arial Unicode MS" w:eastAsia="Arial Unicode MS" w:hint="default"/>
          <w:rtl w:val="0"/>
        </w:rPr>
        <w:t xml:space="preserve">” </w:t>
      </w:r>
      <w:r>
        <w:rPr>
          <w:rFonts w:cs="Arial Unicode MS" w:eastAsia="Arial Unicode MS"/>
          <w:rtl w:val="0"/>
          <w:lang w:val="en-US"/>
        </w:rPr>
        <w:t>within Equity.</w:t>
      </w:r>
    </w:p>
    <w:p>
      <w:pPr>
        <w:pStyle w:val="Body"/>
        <w:bidi w:val="0"/>
      </w:pPr>
      <w:r>
        <w:rPr>
          <w:rFonts w:cs="Arial Unicode MS" w:eastAsia="Arial Unicode MS"/>
          <w:rtl w:val="0"/>
          <w:lang w:val="en-US"/>
        </w:rPr>
        <w:t>Bank transactions that do not arise from trading activities (e.g., private capital injections, shareholder distributions) are not recognized as income or expenses but rather as movements in equity or shareholder loans.</w:t>
      </w:r>
    </w:p>
    <w:p>
      <w:pPr>
        <w:pStyle w:val="Body"/>
        <w:bidi w:val="0"/>
      </w:pPr>
    </w:p>
    <w:p>
      <w:pPr>
        <w:pStyle w:val="Body"/>
        <w:bidi w:val="0"/>
      </w:pPr>
      <w:r>
        <w:rPr>
          <w:rFonts w:cs="Arial Unicode MS" w:eastAsia="Arial Unicode MS"/>
          <w:rtl w:val="0"/>
        </w:rPr>
        <w:t>4.</w:t>
      </w:r>
      <w:r>
        <w:rPr>
          <w:rFonts w:cs="Arial Unicode MS" w:eastAsia="Arial Unicode MS"/>
          <w:rtl w:val="0"/>
          <w:lang w:val="de-DE"/>
        </w:rPr>
        <w:t xml:space="preserve"> </w:t>
      </w:r>
      <w:r>
        <w:rPr>
          <w:rFonts w:cs="Arial Unicode MS" w:eastAsia="Arial Unicode MS"/>
          <w:rtl w:val="0"/>
          <w:lang w:val="en-US"/>
        </w:rPr>
        <w:t>Directors</w:t>
      </w:r>
      <w:r>
        <w:rPr>
          <w:rFonts w:cs="Arial Unicode MS" w:eastAsia="Arial Unicode MS" w:hint="default"/>
          <w:rtl w:val="1"/>
        </w:rPr>
        <w:t xml:space="preserve">’ </w:t>
      </w:r>
      <w:r>
        <w:rPr>
          <w:rFonts w:cs="Arial Unicode MS" w:eastAsia="Arial Unicode MS"/>
          <w:rtl w:val="0"/>
          <w:lang w:val="pt-PT"/>
        </w:rPr>
        <w:t>Remuneration: No directors</w:t>
      </w:r>
      <w:r>
        <w:rPr>
          <w:rFonts w:cs="Arial Unicode MS" w:eastAsia="Arial Unicode MS" w:hint="default"/>
          <w:rtl w:val="1"/>
        </w:rPr>
        <w:t xml:space="preserve">’ </w:t>
      </w:r>
      <w:r>
        <w:rPr>
          <w:rFonts w:cs="Arial Unicode MS" w:eastAsia="Arial Unicode MS"/>
          <w:rtl w:val="0"/>
          <w:lang w:val="en-US"/>
        </w:rPr>
        <w:t>remuneration was pai</w:t>
      </w:r>
      <w:r>
        <w:rPr>
          <w:rFonts w:cs="Arial Unicode MS" w:eastAsia="Arial Unicode MS"/>
          <w:rtl w:val="0"/>
          <w:lang w:val="de-DE"/>
        </w:rPr>
        <w:t>d</w:t>
      </w:r>
    </w:p>
    <w:p>
      <w:pPr>
        <w:pStyle w:val="Body"/>
        <w:bidi w:val="0"/>
      </w:pPr>
    </w:p>
    <w:p>
      <w:pPr>
        <w:pStyle w:val="Body"/>
        <w:bidi w:val="0"/>
      </w:pPr>
      <w:r>
        <w:rPr>
          <w:rFonts w:cs="Arial Unicode MS" w:eastAsia="Arial Unicode MS"/>
          <w:rtl w:val="0"/>
        </w:rPr>
        <w:t>5.</w:t>
      </w:r>
      <w:r>
        <w:rPr>
          <w:rFonts w:cs="Arial Unicode MS" w:eastAsia="Arial Unicode MS"/>
          <w:rtl w:val="0"/>
          <w:lang w:val="de-DE"/>
        </w:rPr>
        <w:t xml:space="preserve"> </w:t>
      </w:r>
      <w:r>
        <w:rPr>
          <w:rFonts w:cs="Arial Unicode MS" w:eastAsia="Arial Unicode MS"/>
          <w:rtl w:val="0"/>
          <w:lang w:val="en-US"/>
        </w:rPr>
        <w:t>Audit Exemption:</w:t>
      </w:r>
    </w:p>
    <w:p>
      <w:pPr>
        <w:pStyle w:val="Body"/>
        <w:bidi w:val="0"/>
      </w:pPr>
      <w:r>
        <w:rPr>
          <w:rFonts w:cs="Arial Unicode MS" w:eastAsia="Arial Unicode MS"/>
          <w:rtl w:val="0"/>
          <w:lang w:val="en-US"/>
        </w:rPr>
        <w:t>The company has availed of the audit exemption under the Companies Act 2014 as a micro-company, having met the necessary criteria.</w:t>
      </w:r>
    </w:p>
    <w:p>
      <w:pPr>
        <w:pStyle w:val="Body"/>
        <w:bidi w:val="0"/>
      </w:pPr>
    </w:p>
    <w:p>
      <w:pPr>
        <w:pStyle w:val="Body"/>
        <w:bidi w:val="0"/>
      </w:pPr>
    </w:p>
    <w:p>
      <w:pPr>
        <w:pStyle w:val="Body"/>
        <w:bidi w:val="0"/>
      </w:pPr>
    </w:p>
    <w:p>
      <w:pPr>
        <w:pStyle w:val="Body"/>
        <w:bidi w:val="0"/>
      </w:pPr>
      <w:r>
        <w:rPr>
          <w:rFonts w:ascii="Arial Unicode MS" w:cs="Arial Unicode MS" w:hAnsi="Arial Unicode MS" w:eastAsia="Arial Unicode MS"/>
          <w:b w:val="0"/>
          <w:bCs w:val="0"/>
          <w:i w:val="0"/>
          <w:iCs w:val="0"/>
        </w:rPr>
        <w:br w:type="page"/>
      </w:r>
    </w:p>
    <w:p>
      <w:pPr>
        <w:pStyle w:val="Heading 3"/>
        <w:bidi w:val="0"/>
      </w:pPr>
      <w:r>
        <w:rPr>
          <w:rtl w:val="0"/>
        </w:rPr>
        <w:t>4</w:t>
      </w:r>
      <w:r>
        <w:rPr>
          <w:rtl w:val="0"/>
          <w:lang w:val="en-US"/>
        </w:rPr>
        <w:t>. Signature Section</w:t>
      </w:r>
    </w:p>
    <w:p>
      <w:pPr>
        <w:pStyle w:val="Body"/>
        <w:bidi w:val="0"/>
      </w:pPr>
    </w:p>
    <w:p>
      <w:pPr>
        <w:pStyle w:val="Body"/>
        <w:bidi w:val="0"/>
      </w:pPr>
    </w:p>
    <w:p>
      <w:pPr>
        <w:pStyle w:val="Body"/>
        <w:bidi w:val="0"/>
      </w:pPr>
      <w:r>
        <w:rPr>
          <w:rFonts w:cs="Arial Unicode MS" w:eastAsia="Arial Unicode MS"/>
          <w:rtl w:val="0"/>
          <w:lang w:val="en-US"/>
        </w:rPr>
        <w:t xml:space="preserve">Approved by the Board on </w:t>
      </w:r>
      <w:r>
        <w:rPr>
          <w:rFonts w:cs="Arial Unicode MS" w:eastAsia="Arial Unicode MS"/>
          <w:rtl w:val="0"/>
          <w:lang w:val="de-DE"/>
        </w:rPr>
        <w:t>01.01.2025</w:t>
      </w:r>
    </w:p>
    <w:p>
      <w:pPr>
        <w:pStyle w:val="Body"/>
        <w:bidi w:val="0"/>
      </w:pPr>
    </w:p>
    <w:p>
      <w:pPr>
        <w:pStyle w:val="Body"/>
        <w:bidi w:val="0"/>
      </w:pPr>
      <w:r>
        <w:rPr>
          <w:rFonts w:cs="Arial Unicode MS" w:eastAsia="Arial Unicode MS"/>
          <w:rtl w:val="0"/>
          <w:lang w:val="en-US"/>
        </w:rPr>
        <w:t>and signed on its behalf by:</w:t>
      </w:r>
    </w:p>
    <w:p>
      <w:pPr>
        <w:pStyle w:val="Body"/>
        <w:bidi w:val="0"/>
      </w:pPr>
    </w:p>
    <w:p>
      <w:pPr>
        <w:pStyle w:val="Body"/>
        <w:bidi w:val="0"/>
      </w:pPr>
    </w:p>
    <w:p>
      <w:pPr>
        <w:pStyle w:val="Body"/>
        <w:bidi w:val="0"/>
      </w:pPr>
    </w:p>
    <w:tbl>
      <w:tblPr>
        <w:tblW w:w="963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8"/>
        <w:gridCol w:w="4819"/>
      </w:tblGrid>
      <w:tr>
        <w:tblPrEx>
          <w:shd w:val="clear" w:color="auto" w:fill="auto"/>
        </w:tblPrEx>
        <w:trPr>
          <w:trHeight w:val="240" w:hRule="atLeast"/>
        </w:trPr>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[Your Director Name]</w:t>
            </w:r>
          </w:p>
        </w:tc>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[Your Secretary Name]</w:t>
            </w:r>
          </w:p>
        </w:tc>
      </w:tr>
      <w:tr>
        <w:tblPrEx>
          <w:shd w:val="clear" w:color="auto" w:fill="auto"/>
        </w:tblPrEx>
        <w:trPr>
          <w:trHeight w:val="240" w:hRule="atLeast"/>
        </w:trPr>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Director</w:t>
            </w:r>
          </w:p>
        </w:tc>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Secretary</w:t>
            </w:r>
          </w:p>
        </w:tc>
      </w:tr>
      <w:tr>
        <w:tblPrEx>
          <w:shd w:val="clear" w:color="auto" w:fill="auto"/>
        </w:tblPrEx>
        <w:trPr>
          <w:trHeight w:val="240" w:hRule="atLeast"/>
        </w:trPr>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01.01.2025</w:t>
            </w:r>
          </w:p>
        </w:tc>
        <w:tc>
          <w:tcPr>
            <w:tcW w:type="dxa" w:w="4818"/>
            <w:tcBorders>
              <w:top w:val="nil"/>
              <w:left w:val="nil"/>
              <w:bottom w:val="nil"/>
              <w:right w:val="nil"/>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before="0" w:line="240" w:lineRule="auto"/>
              <w:jc w:val="center"/>
            </w:pPr>
            <w:r>
              <w:rPr>
                <w:rFonts w:ascii="Avenir Next Regular" w:hAnsi="Avenir Next Regular"/>
                <w:i w:val="1"/>
                <w:iCs w:val="1"/>
                <w:outline w:val="0"/>
                <w:color w:val="0a0a08"/>
                <w:sz w:val="18"/>
                <w:szCs w:val="18"/>
                <w:rtl w:val="0"/>
                <w14:textFill>
                  <w14:solidFill>
                    <w14:srgbClr w14:val="0A0B09"/>
                  </w14:solidFill>
                </w14:textFill>
              </w:rPr>
              <w:t>01.01.2025</w:t>
            </w:r>
          </w:p>
        </w:tc>
      </w:tr>
    </w:tbl>
    <w:p>
      <w:pPr>
        <w:pStyle w:val="Body"/>
        <w:bidi w:val="0"/>
      </w:pPr>
    </w:p>
    <w:sectPr>
      <w:headerReference w:type="default" r:id="rId4"/>
      <w:footerReference w:type="default" r:id="rId5"/>
      <w:pgSz w:w="11906" w:h="16838" w:orient="portrait"/>
      <w:pgMar w:top="1134" w:right="1134" w:bottom="1134" w:left="1134"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Regular">
    <w:charset w:val="00"/>
    <w:family w:val="roman"/>
    <w:pitch w:val="default"/>
  </w:font>
  <w:font w:name="Avenir Next Demi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Regular" w:cs="Arial Unicode MS" w:hAnsi="Avenir Next Regular"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3"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Avenir Next Regular" w:cs="Arial Unicode MS" w:hAnsi="Avenir Next Regular" w:eastAsia="Arial Unicode MS"/>
      <w:b w:val="0"/>
      <w:bCs w:val="0"/>
      <w:i w:val="0"/>
      <w:iCs w:val="0"/>
      <w:caps w:val="0"/>
      <w:smallCaps w:val="0"/>
      <w:strike w:val="0"/>
      <w:dstrike w:val="0"/>
      <w:outline w:val="0"/>
      <w:color w:val="000000"/>
      <w:spacing w:val="5"/>
      <w:kern w:val="0"/>
      <w:position w:val="0"/>
      <w:sz w:val="26"/>
      <w:szCs w:val="26"/>
      <w:u w:val="none"/>
      <w:shd w:val="nil" w:color="auto" w:fill="auto"/>
      <w:vertAlign w:val="baseline"/>
      <w:lang w:val="de-DE"/>
      <w14:textOutline>
        <w14:noFill/>
      </w14:textOutline>
      <w14:textFill>
        <w14:solidFill>
          <w14:srgbClr w14:val="000000"/>
        </w14:solidFill>
      </w14:textFill>
    </w:rPr>
  </w:style>
  <w:style w:type="numbering" w:styleId="Dash">
    <w:name w:val="Dash"/>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venir Next Regular" w:cs="Avenir Next Regular" w:hAnsi="Avenir Next Regular" w:eastAsia="Avenir Next Regular"/>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Next Regular"/>
        <a:ea typeface="Avenir Next Regular"/>
        <a:cs typeface="Avenir Next Regular"/>
      </a:majorFont>
      <a:minorFont>
        <a:latin typeface="Avenir Next Regular"/>
        <a:ea typeface="Avenir Next Regular"/>
        <a:cs typeface="Avenir Next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